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8" w:rsidRDefault="00274408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274408" w:rsidRPr="007541BE" w:rsidRDefault="00274408">
      <w:pPr>
        <w:pStyle w:val="Heading7"/>
        <w:spacing w:line="240" w:lineRule="auto"/>
        <w:jc w:val="center"/>
        <w:rPr>
          <w:b/>
          <w:bCs/>
        </w:rPr>
      </w:pPr>
      <w:r w:rsidRPr="007541BE">
        <w:rPr>
          <w:b/>
          <w:bCs/>
        </w:rPr>
        <w:t>Poverty Guidelines for Earnings</w:t>
      </w:r>
    </w:p>
    <w:p w:rsidR="00274408" w:rsidRPr="007541BE" w:rsidRDefault="00F90E46">
      <w:pPr>
        <w:tabs>
          <w:tab w:val="left" w:pos="1095"/>
        </w:tabs>
        <w:spacing w:line="240" w:lineRule="auto"/>
        <w:jc w:val="center"/>
        <w:rPr>
          <w:b/>
          <w:bCs/>
          <w:sz w:val="28"/>
        </w:rPr>
      </w:pPr>
      <w:r w:rsidRPr="007541BE">
        <w:rPr>
          <w:b/>
          <w:bCs/>
          <w:sz w:val="28"/>
        </w:rPr>
        <w:t xml:space="preserve">(For earnings </w:t>
      </w:r>
      <w:r w:rsidRPr="002A6C2D">
        <w:rPr>
          <w:b/>
          <w:bCs/>
          <w:sz w:val="28"/>
        </w:rPr>
        <w:t xml:space="preserve">from July </w:t>
      </w:r>
      <w:r w:rsidRPr="008E5E27">
        <w:rPr>
          <w:b/>
          <w:bCs/>
          <w:sz w:val="28"/>
        </w:rPr>
        <w:t xml:space="preserve">1, </w:t>
      </w:r>
      <w:r w:rsidR="006A0A10">
        <w:rPr>
          <w:rFonts w:cs="Arial"/>
          <w:b/>
          <w:sz w:val="28"/>
          <w:szCs w:val="28"/>
        </w:rPr>
        <w:t>2022</w:t>
      </w:r>
      <w:r w:rsidR="00825019" w:rsidRPr="008E5E27">
        <w:rPr>
          <w:rFonts w:cs="Arial"/>
          <w:b/>
          <w:sz w:val="28"/>
          <w:szCs w:val="28"/>
        </w:rPr>
        <w:t xml:space="preserve"> thru June 30</w:t>
      </w:r>
      <w:r w:rsidR="006A0A10">
        <w:rPr>
          <w:rFonts w:cs="Arial"/>
          <w:b/>
          <w:sz w:val="28"/>
          <w:szCs w:val="28"/>
        </w:rPr>
        <w:t>, 2023</w:t>
      </w:r>
      <w:r w:rsidR="00274408" w:rsidRPr="008E5E27">
        <w:rPr>
          <w:b/>
          <w:bCs/>
          <w:sz w:val="28"/>
        </w:rPr>
        <w:t>)</w:t>
      </w:r>
    </w:p>
    <w:p w:rsidR="00274408" w:rsidRPr="007541BE" w:rsidRDefault="00274408" w:rsidP="00FF485B">
      <w:pPr>
        <w:tabs>
          <w:tab w:val="left" w:pos="1095"/>
        </w:tabs>
        <w:spacing w:line="240" w:lineRule="auto"/>
        <w:ind w:left="360"/>
        <w:rPr>
          <w:sz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1609"/>
        <w:gridCol w:w="1609"/>
        <w:gridCol w:w="1609"/>
        <w:gridCol w:w="1609"/>
        <w:gridCol w:w="1609"/>
      </w:tblGrid>
      <w:tr w:rsidR="00335DEA" w:rsidRPr="007541BE" w:rsidTr="00C04389">
        <w:trPr>
          <w:trHeight w:val="600"/>
        </w:trPr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40" w:lineRule="exact"/>
              <w:jc w:val="center"/>
              <w:rPr>
                <w:b/>
                <w:bCs/>
                <w:sz w:val="24"/>
              </w:rPr>
            </w:pPr>
          </w:p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Size of</w:t>
            </w:r>
          </w:p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Family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335DEA" w:rsidRPr="007541BE" w:rsidRDefault="00335DEA" w:rsidP="00335DEA">
            <w:pPr>
              <w:pStyle w:val="Heading8"/>
              <w:tabs>
                <w:tab w:val="center" w:pos="912"/>
                <w:tab w:val="right" w:pos="1824"/>
              </w:tabs>
              <w:rPr>
                <w:b/>
                <w:bCs/>
              </w:rPr>
            </w:pPr>
            <w:r w:rsidRPr="007541BE">
              <w:rPr>
                <w:b/>
                <w:bCs/>
              </w:rPr>
              <w:t>Weekly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Bi-weekly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Semi-monthly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Monthly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335DEA" w:rsidRPr="007541BE" w:rsidRDefault="00335DEA" w:rsidP="00335DEA">
            <w:pPr>
              <w:tabs>
                <w:tab w:val="left" w:pos="1095"/>
              </w:tabs>
              <w:spacing w:line="240" w:lineRule="auto"/>
              <w:jc w:val="center"/>
              <w:rPr>
                <w:b/>
                <w:bCs/>
                <w:sz w:val="24"/>
              </w:rPr>
            </w:pPr>
            <w:r w:rsidRPr="007541BE">
              <w:rPr>
                <w:b/>
                <w:bCs/>
                <w:sz w:val="24"/>
              </w:rPr>
              <w:t>150%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$2</w:t>
            </w:r>
            <w:r w:rsidR="00E45F78">
              <w:rPr>
                <w:rFonts w:cs="Arial"/>
                <w:color w:val="000000"/>
              </w:rPr>
              <w:t>61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523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$5</w:t>
            </w:r>
            <w:r w:rsidR="005C0DC4">
              <w:rPr>
                <w:rFonts w:cs="Arial"/>
                <w:color w:val="000000"/>
              </w:rPr>
              <w:t>66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133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$1,6</w:t>
            </w:r>
            <w:r w:rsidR="005C0DC4">
              <w:rPr>
                <w:rFonts w:cs="Arial"/>
                <w:color w:val="000000"/>
              </w:rPr>
              <w:t>99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$3</w:t>
            </w:r>
            <w:r w:rsidR="00E45F78">
              <w:rPr>
                <w:rFonts w:cs="Arial"/>
                <w:color w:val="000000"/>
              </w:rPr>
              <w:t>52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704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$7</w:t>
            </w:r>
            <w:r w:rsidR="005C0DC4">
              <w:rPr>
                <w:rFonts w:cs="Arial"/>
                <w:color w:val="000000"/>
              </w:rPr>
              <w:t>63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526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$2,</w:t>
            </w:r>
            <w:r w:rsidR="005C0DC4">
              <w:rPr>
                <w:rFonts w:cs="Arial"/>
                <w:color w:val="000000"/>
              </w:rPr>
              <w:t>289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$4</w:t>
            </w:r>
            <w:r w:rsidR="00E45F78">
              <w:rPr>
                <w:rFonts w:cs="Arial"/>
                <w:color w:val="000000"/>
              </w:rPr>
              <w:t>43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$8</w:t>
            </w:r>
            <w:r w:rsidR="00E45F78">
              <w:rPr>
                <w:rFonts w:cs="Arial"/>
                <w:color w:val="000000"/>
              </w:rPr>
              <w:t>86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$9</w:t>
            </w:r>
            <w:r w:rsidR="005C0DC4">
              <w:rPr>
                <w:rFonts w:cs="Arial"/>
                <w:color w:val="000000"/>
              </w:rPr>
              <w:t>60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919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$2,</w:t>
            </w:r>
            <w:r w:rsidR="005C0DC4">
              <w:rPr>
                <w:rFonts w:cs="Arial"/>
                <w:color w:val="000000"/>
              </w:rPr>
              <w:t>879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$5</w:t>
            </w:r>
            <w:r w:rsidR="00E45F78">
              <w:rPr>
                <w:rFonts w:cs="Arial"/>
                <w:color w:val="000000"/>
              </w:rPr>
              <w:t>34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$1,0</w:t>
            </w:r>
            <w:r w:rsidR="00E45F78">
              <w:rPr>
                <w:rFonts w:cs="Arial"/>
                <w:color w:val="000000"/>
              </w:rPr>
              <w:t>67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$1,1</w:t>
            </w:r>
            <w:r w:rsidR="005C0DC4">
              <w:rPr>
                <w:rFonts w:cs="Arial"/>
                <w:color w:val="000000"/>
              </w:rPr>
              <w:t>56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$2,</w:t>
            </w:r>
            <w:r w:rsidR="005C0DC4">
              <w:rPr>
                <w:rFonts w:cs="Arial"/>
                <w:color w:val="000000"/>
              </w:rPr>
              <w:t>313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$3,</w:t>
            </w:r>
            <w:r w:rsidR="005C0DC4">
              <w:rPr>
                <w:rFonts w:cs="Arial"/>
                <w:color w:val="000000"/>
              </w:rPr>
              <w:t>469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624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E45F78">
              <w:rPr>
                <w:rFonts w:cs="Arial"/>
                <w:color w:val="000000"/>
              </w:rPr>
              <w:t>249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353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$2,</w:t>
            </w:r>
            <w:r w:rsidR="005C0DC4">
              <w:rPr>
                <w:rFonts w:cs="Arial"/>
                <w:color w:val="000000"/>
              </w:rPr>
              <w:t>706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5C0DC4">
              <w:rPr>
                <w:rFonts w:cs="Arial"/>
                <w:color w:val="000000"/>
              </w:rPr>
              <w:t>4,059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715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E45F78">
              <w:rPr>
                <w:rFonts w:cs="Arial"/>
                <w:color w:val="000000"/>
              </w:rPr>
              <w:t>430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550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5C0DC4">
              <w:rPr>
                <w:rFonts w:cs="Arial"/>
                <w:color w:val="000000"/>
              </w:rPr>
              <w:t>3,099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$4,</w:t>
            </w:r>
            <w:r w:rsidR="005C0DC4">
              <w:rPr>
                <w:rFonts w:cs="Arial"/>
                <w:color w:val="000000"/>
              </w:rPr>
              <w:t>649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806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E45F78">
              <w:rPr>
                <w:rFonts w:cs="Arial"/>
                <w:color w:val="000000"/>
              </w:rPr>
              <w:t>612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746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$3,</w:t>
            </w:r>
            <w:r w:rsidR="005C0DC4">
              <w:rPr>
                <w:rFonts w:cs="Arial"/>
                <w:color w:val="000000"/>
              </w:rPr>
              <w:t>493</w:t>
            </w:r>
          </w:p>
        </w:tc>
        <w:tc>
          <w:tcPr>
            <w:tcW w:w="1609" w:type="dxa"/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$5,</w:t>
            </w:r>
            <w:r w:rsidR="005C0DC4">
              <w:rPr>
                <w:rFonts w:cs="Arial"/>
                <w:color w:val="000000"/>
              </w:rPr>
              <w:t>239</w:t>
            </w:r>
          </w:p>
        </w:tc>
      </w:tr>
      <w:tr w:rsidR="00B1506D" w:rsidRPr="007541BE" w:rsidTr="00B1506D">
        <w:trPr>
          <w:trHeight w:val="600"/>
        </w:trPr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Default="00B1506D" w:rsidP="00B1506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</w:t>
            </w:r>
            <w:r w:rsidR="00E45F78">
              <w:rPr>
                <w:rFonts w:cs="Arial"/>
                <w:color w:val="000000"/>
              </w:rPr>
              <w:t>897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$1,7</w:t>
            </w:r>
            <w:r w:rsidR="00E45F78">
              <w:rPr>
                <w:rFonts w:cs="Arial"/>
                <w:color w:val="000000"/>
              </w:rPr>
              <w:t>93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$1,</w:t>
            </w:r>
            <w:r w:rsidR="005C0DC4">
              <w:rPr>
                <w:rFonts w:cs="Arial"/>
                <w:color w:val="000000"/>
              </w:rPr>
              <w:t>943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$3,</w:t>
            </w:r>
            <w:r w:rsidR="005C0DC4">
              <w:rPr>
                <w:rFonts w:cs="Arial"/>
                <w:color w:val="000000"/>
              </w:rPr>
              <w:t>886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B1506D" w:rsidRPr="00B1506D" w:rsidRDefault="00B1506D" w:rsidP="00B1506D">
            <w:pPr>
              <w:jc w:val="center"/>
              <w:rPr>
                <w:rFonts w:cs="Arial"/>
                <w:color w:val="000000"/>
              </w:rPr>
            </w:pPr>
            <w:r w:rsidRPr="00B1506D">
              <w:rPr>
                <w:rFonts w:cs="Arial"/>
                <w:color w:val="000000"/>
              </w:rPr>
              <w:t>$5,</w:t>
            </w:r>
            <w:r w:rsidR="005C0DC4">
              <w:rPr>
                <w:rFonts w:cs="Arial"/>
                <w:color w:val="000000"/>
              </w:rPr>
              <w:t>829</w:t>
            </w:r>
          </w:p>
        </w:tc>
      </w:tr>
      <w:tr w:rsidR="00335DEA" w:rsidRPr="007541BE" w:rsidTr="00C04389">
        <w:trPr>
          <w:trHeight w:val="600"/>
        </w:trPr>
        <w:tc>
          <w:tcPr>
            <w:tcW w:w="1609" w:type="dxa"/>
            <w:shd w:val="clear" w:color="auto" w:fill="auto"/>
          </w:tcPr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40" w:lineRule="exact"/>
              <w:jc w:val="center"/>
            </w:pPr>
          </w:p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240" w:lineRule="auto"/>
              <w:jc w:val="center"/>
            </w:pPr>
            <w:r w:rsidRPr="007541BE">
              <w:t>Ea. add’l</w:t>
            </w:r>
          </w:p>
          <w:p w:rsidR="00335DEA" w:rsidRPr="007541BE" w:rsidRDefault="00335DEA">
            <w:pPr>
              <w:tabs>
                <w:tab w:val="left" w:pos="1095"/>
              </w:tabs>
              <w:spacing w:line="240" w:lineRule="auto"/>
              <w:jc w:val="center"/>
            </w:pPr>
            <w:r w:rsidRPr="007541BE">
              <w:t>family member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40" w:lineRule="exact"/>
              <w:jc w:val="center"/>
            </w:pPr>
          </w:p>
          <w:p w:rsidR="00335DEA" w:rsidRPr="007541BE" w:rsidRDefault="00343E21" w:rsidP="003D7463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240" w:lineRule="auto"/>
              <w:jc w:val="center"/>
            </w:pPr>
            <w:r>
              <w:t>Add $</w:t>
            </w:r>
            <w:r w:rsidR="00E45F78">
              <w:t>91</w:t>
            </w:r>
            <w:r w:rsidR="00335DEA" w:rsidRPr="007541BE">
              <w:t xml:space="preserve"> to</w:t>
            </w:r>
          </w:p>
          <w:p w:rsidR="00335DEA" w:rsidRPr="007541BE" w:rsidRDefault="00335DEA">
            <w:pPr>
              <w:tabs>
                <w:tab w:val="left" w:pos="1095"/>
              </w:tabs>
              <w:spacing w:line="240" w:lineRule="auto"/>
              <w:jc w:val="center"/>
            </w:pPr>
            <w:r w:rsidRPr="007541BE">
              <w:t>above amount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40" w:lineRule="exact"/>
              <w:jc w:val="center"/>
            </w:pPr>
          </w:p>
          <w:p w:rsidR="00335DEA" w:rsidRPr="007541BE" w:rsidRDefault="00F85B27" w:rsidP="003D7463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240" w:lineRule="auto"/>
              <w:jc w:val="center"/>
            </w:pPr>
            <w:r>
              <w:t>Add $</w:t>
            </w:r>
            <w:r w:rsidR="00E45F78">
              <w:t xml:space="preserve">182 </w:t>
            </w:r>
            <w:r w:rsidR="00335DEA" w:rsidRPr="007541BE">
              <w:t>to</w:t>
            </w:r>
          </w:p>
          <w:p w:rsidR="00335DEA" w:rsidRPr="007541BE" w:rsidRDefault="00335DEA">
            <w:pPr>
              <w:tabs>
                <w:tab w:val="left" w:pos="1095"/>
              </w:tabs>
              <w:spacing w:line="240" w:lineRule="auto"/>
              <w:jc w:val="center"/>
              <w:rPr>
                <w:sz w:val="24"/>
              </w:rPr>
            </w:pPr>
            <w:r w:rsidRPr="007541BE">
              <w:t>above amount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40" w:lineRule="exact"/>
              <w:jc w:val="center"/>
            </w:pPr>
          </w:p>
          <w:p w:rsidR="00335DEA" w:rsidRPr="007541BE" w:rsidRDefault="00F36EBC" w:rsidP="003D7463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240" w:lineRule="auto"/>
              <w:jc w:val="center"/>
            </w:pPr>
            <w:r w:rsidRPr="007541BE">
              <w:t>Add $</w:t>
            </w:r>
            <w:r w:rsidR="005C0DC4">
              <w:t>197</w:t>
            </w:r>
            <w:r w:rsidR="00335DEA" w:rsidRPr="007541BE">
              <w:t xml:space="preserve"> to</w:t>
            </w:r>
          </w:p>
          <w:p w:rsidR="00335DEA" w:rsidRPr="007541BE" w:rsidRDefault="00335DEA">
            <w:pPr>
              <w:tabs>
                <w:tab w:val="left" w:pos="1095"/>
              </w:tabs>
              <w:spacing w:line="240" w:lineRule="auto"/>
              <w:jc w:val="center"/>
              <w:rPr>
                <w:sz w:val="24"/>
              </w:rPr>
            </w:pPr>
            <w:r w:rsidRPr="007541BE">
              <w:t>above amount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40" w:lineRule="exact"/>
              <w:jc w:val="center"/>
            </w:pPr>
          </w:p>
          <w:p w:rsidR="00335DEA" w:rsidRPr="007541BE" w:rsidRDefault="00F36EBC" w:rsidP="003D7463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spacing w:line="240" w:lineRule="auto"/>
              <w:jc w:val="center"/>
            </w:pPr>
            <w:r w:rsidRPr="007541BE">
              <w:t>Add $</w:t>
            </w:r>
            <w:r w:rsidR="005C0DC4">
              <w:t>393</w:t>
            </w:r>
            <w:r w:rsidR="00335DEA" w:rsidRPr="007541BE">
              <w:t xml:space="preserve"> to</w:t>
            </w:r>
          </w:p>
          <w:p w:rsidR="00335DEA" w:rsidRPr="007541BE" w:rsidRDefault="00335DEA">
            <w:pPr>
              <w:tabs>
                <w:tab w:val="left" w:pos="1095"/>
              </w:tabs>
              <w:spacing w:line="240" w:lineRule="auto"/>
              <w:jc w:val="center"/>
              <w:rPr>
                <w:sz w:val="24"/>
              </w:rPr>
            </w:pPr>
            <w:r w:rsidRPr="007541BE">
              <w:t>above amount</w:t>
            </w:r>
          </w:p>
        </w:tc>
        <w:tc>
          <w:tcPr>
            <w:tcW w:w="1609" w:type="dxa"/>
            <w:shd w:val="clear" w:color="auto" w:fill="auto"/>
          </w:tcPr>
          <w:p w:rsidR="00335DEA" w:rsidRPr="007541BE" w:rsidRDefault="00F85B27" w:rsidP="00EA2AF8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jc w:val="center"/>
            </w:pPr>
            <w:r>
              <w:t>Add $</w:t>
            </w:r>
            <w:r w:rsidR="005C0DC4">
              <w:t>590</w:t>
            </w:r>
            <w:r w:rsidR="00335DEA" w:rsidRPr="007541BE">
              <w:t xml:space="preserve"> to</w:t>
            </w:r>
          </w:p>
          <w:p w:rsidR="00335DEA" w:rsidRPr="007541BE" w:rsidRDefault="00335DEA" w:rsidP="00335DEA">
            <w:pPr>
              <w:pStyle w:val="Header"/>
              <w:tabs>
                <w:tab w:val="clear" w:pos="4320"/>
                <w:tab w:val="clear" w:pos="8640"/>
                <w:tab w:val="left" w:pos="1095"/>
              </w:tabs>
              <w:jc w:val="center"/>
            </w:pPr>
            <w:r w:rsidRPr="007541BE">
              <w:t>above amount</w:t>
            </w:r>
          </w:p>
        </w:tc>
      </w:tr>
    </w:tbl>
    <w:p w:rsidR="00BA5E5B" w:rsidRPr="007541BE" w:rsidRDefault="00BA5E5B">
      <w:pPr>
        <w:tabs>
          <w:tab w:val="left" w:pos="1095"/>
        </w:tabs>
        <w:spacing w:line="240" w:lineRule="auto"/>
        <w:rPr>
          <w:rFonts w:cs="Arial"/>
          <w:sz w:val="28"/>
        </w:rPr>
      </w:pPr>
    </w:p>
    <w:p w:rsidR="00FF485B" w:rsidRPr="007541BE" w:rsidRDefault="00BC51AA" w:rsidP="00FF485B">
      <w:pPr>
        <w:tabs>
          <w:tab w:val="left" w:pos="975"/>
        </w:tabs>
        <w:ind w:left="360"/>
        <w:rPr>
          <w:b/>
        </w:rPr>
      </w:pPr>
      <w:r w:rsidRPr="007541BE">
        <w:rPr>
          <w:b/>
        </w:rPr>
        <w:t>DEFINITIONS:</w:t>
      </w:r>
    </w:p>
    <w:p w:rsidR="00D447A4" w:rsidRPr="007541BE" w:rsidRDefault="00D447A4" w:rsidP="00FF485B">
      <w:pPr>
        <w:tabs>
          <w:tab w:val="left" w:pos="975"/>
        </w:tabs>
        <w:ind w:left="360"/>
        <w:rPr>
          <w:b/>
        </w:rPr>
      </w:pPr>
    </w:p>
    <w:p w:rsidR="00D447A4" w:rsidRPr="007541BE" w:rsidRDefault="00D447A4" w:rsidP="00D447A4">
      <w:pPr>
        <w:autoSpaceDE w:val="0"/>
        <w:autoSpaceDN w:val="0"/>
        <w:adjustRightInd w:val="0"/>
        <w:spacing w:line="240" w:lineRule="auto"/>
        <w:ind w:left="630"/>
        <w:rPr>
          <w:rFonts w:cs="Arial"/>
        </w:rPr>
      </w:pPr>
      <w:r w:rsidRPr="007541BE">
        <w:rPr>
          <w:rFonts w:cs="Arial"/>
        </w:rPr>
        <w:t xml:space="preserve">“Earnings” means compensation paid or payable by the garnishee for personal services, whether designated as wages, salary, commission, </w:t>
      </w:r>
      <w:r w:rsidR="004A32DB" w:rsidRPr="007541BE">
        <w:rPr>
          <w:rFonts w:cs="Arial"/>
        </w:rPr>
        <w:t>and bonus</w:t>
      </w:r>
      <w:r w:rsidRPr="007541BE">
        <w:rPr>
          <w:rFonts w:cs="Arial"/>
        </w:rPr>
        <w:t xml:space="preserve"> or otherwise, and includes periodic payments under a pension or retirement program.</w:t>
      </w:r>
    </w:p>
    <w:p w:rsidR="00FF485B" w:rsidRPr="007541BE" w:rsidRDefault="00FF485B" w:rsidP="00FF485B">
      <w:pPr>
        <w:tabs>
          <w:tab w:val="left" w:pos="975"/>
        </w:tabs>
        <w:ind w:left="360"/>
        <w:rPr>
          <w:sz w:val="28"/>
        </w:rPr>
      </w:pPr>
    </w:p>
    <w:p w:rsidR="00BC51AA" w:rsidRPr="007541BE" w:rsidRDefault="00BC51AA" w:rsidP="00BC51AA">
      <w:pPr>
        <w:autoSpaceDE w:val="0"/>
        <w:autoSpaceDN w:val="0"/>
        <w:adjustRightInd w:val="0"/>
        <w:spacing w:line="240" w:lineRule="auto"/>
        <w:ind w:left="630"/>
        <w:rPr>
          <w:rFonts w:cs="Arial"/>
        </w:rPr>
      </w:pPr>
      <w:r w:rsidRPr="007541BE">
        <w:rPr>
          <w:rFonts w:cs="Arial"/>
        </w:rPr>
        <w:t xml:space="preserve">“Disposable earnings” means that part of the earnings of the debtor remaining after </w:t>
      </w:r>
      <w:r w:rsidR="00167BE1" w:rsidRPr="007541BE">
        <w:rPr>
          <w:rFonts w:cs="Arial"/>
        </w:rPr>
        <w:t>subtracting</w:t>
      </w:r>
      <w:r w:rsidRPr="007541BE">
        <w:rPr>
          <w:rFonts w:cs="Arial"/>
        </w:rPr>
        <w:t xml:space="preserve"> social security taxes and federal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and state income taxes listed on the person’s wage statement.</w:t>
      </w:r>
    </w:p>
    <w:p w:rsidR="00B93CA0" w:rsidRPr="007541BE" w:rsidRDefault="00B93CA0" w:rsidP="00BC51AA">
      <w:pPr>
        <w:autoSpaceDE w:val="0"/>
        <w:autoSpaceDN w:val="0"/>
        <w:adjustRightInd w:val="0"/>
        <w:spacing w:line="240" w:lineRule="auto"/>
        <w:ind w:left="630"/>
        <w:rPr>
          <w:rFonts w:cs="Arial"/>
        </w:rPr>
      </w:pPr>
    </w:p>
    <w:p w:rsidR="00FF485B" w:rsidRPr="007541BE" w:rsidRDefault="00BC51AA" w:rsidP="00B93CA0">
      <w:pPr>
        <w:autoSpaceDE w:val="0"/>
        <w:autoSpaceDN w:val="0"/>
        <w:adjustRightInd w:val="0"/>
        <w:spacing w:line="240" w:lineRule="auto"/>
        <w:ind w:left="630"/>
        <w:rPr>
          <w:rFonts w:cs="Arial"/>
        </w:rPr>
      </w:pPr>
      <w:r w:rsidRPr="007541BE">
        <w:rPr>
          <w:rFonts w:cs="Arial"/>
        </w:rPr>
        <w:t>“Household income” means the disposable earnings of the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debtor and dependents during any month in which the garnishment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is in effect, plus unearned income received by the debtor and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dependents in that month, less any of the debtor’s earnings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assigned by court order under ch. 767.</w:t>
      </w:r>
    </w:p>
    <w:p w:rsidR="00BC51AA" w:rsidRPr="007541BE" w:rsidRDefault="00BC51AA" w:rsidP="00BC51AA">
      <w:pPr>
        <w:tabs>
          <w:tab w:val="left" w:pos="975"/>
        </w:tabs>
        <w:ind w:left="630"/>
        <w:rPr>
          <w:rFonts w:cs="Arial"/>
        </w:rPr>
      </w:pPr>
    </w:p>
    <w:p w:rsidR="00B93CA0" w:rsidRPr="007541BE" w:rsidRDefault="00B93CA0" w:rsidP="00B93CA0">
      <w:pPr>
        <w:tabs>
          <w:tab w:val="left" w:pos="975"/>
        </w:tabs>
        <w:ind w:left="630" w:hanging="270"/>
        <w:rPr>
          <w:rFonts w:cs="Arial"/>
          <w:b/>
        </w:rPr>
      </w:pPr>
      <w:r w:rsidRPr="007541BE">
        <w:rPr>
          <w:rFonts w:cs="Arial"/>
          <w:b/>
        </w:rPr>
        <w:t>EXEMPTIONS:</w:t>
      </w:r>
    </w:p>
    <w:p w:rsidR="00B93CA0" w:rsidRPr="007541BE" w:rsidRDefault="00B93CA0" w:rsidP="00BC51AA">
      <w:pPr>
        <w:tabs>
          <w:tab w:val="left" w:pos="975"/>
        </w:tabs>
        <w:ind w:left="630"/>
        <w:rPr>
          <w:rFonts w:cs="Arial"/>
        </w:rPr>
      </w:pPr>
    </w:p>
    <w:p w:rsidR="00825019" w:rsidRDefault="00BC51AA" w:rsidP="00DF695A">
      <w:pPr>
        <w:tabs>
          <w:tab w:val="left" w:pos="1095"/>
        </w:tabs>
        <w:spacing w:line="240" w:lineRule="auto"/>
        <w:ind w:left="630" w:right="-72"/>
        <w:rPr>
          <w:sz w:val="28"/>
        </w:rPr>
      </w:pPr>
      <w:r w:rsidRPr="007541BE">
        <w:rPr>
          <w:rFonts w:cs="Arial"/>
        </w:rPr>
        <w:t>The debtor’s earnings are totally exempt from garnishment</w:t>
      </w:r>
      <w:r w:rsidR="00B93CA0" w:rsidRPr="007541BE">
        <w:rPr>
          <w:rFonts w:cs="Arial"/>
        </w:rPr>
        <w:t xml:space="preserve"> </w:t>
      </w:r>
      <w:r w:rsidRPr="007541BE">
        <w:rPr>
          <w:rFonts w:cs="Arial"/>
        </w:rPr>
        <w:t>under this sub</w:t>
      </w:r>
      <w:r w:rsidR="00B93CA0" w:rsidRPr="007541BE">
        <w:rPr>
          <w:rFonts w:cs="Arial"/>
        </w:rPr>
        <w:t>chapter if t</w:t>
      </w:r>
      <w:r w:rsidRPr="007541BE">
        <w:rPr>
          <w:rFonts w:cs="Arial"/>
        </w:rPr>
        <w:t>he debtor’s household income is below the poverty line.</w:t>
      </w:r>
      <w:r w:rsidR="00825019" w:rsidRPr="00825019">
        <w:rPr>
          <w:sz w:val="28"/>
        </w:rPr>
        <w:t xml:space="preserve"> </w:t>
      </w:r>
    </w:p>
    <w:p w:rsidR="00776DEF" w:rsidRDefault="00776DEF" w:rsidP="00C2606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8E5E27" w:rsidRDefault="008E5E27" w:rsidP="00C2606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8E5E27" w:rsidRDefault="008E5E27" w:rsidP="00C2606A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8E5E27" w:rsidRPr="00BC51AA" w:rsidRDefault="008E5E27" w:rsidP="00C2606A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8E5E27" w:rsidRPr="00BC51AA" w:rsidSect="00892047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46" w:rsidRDefault="00ED6A46">
      <w:r>
        <w:separator/>
      </w:r>
    </w:p>
  </w:endnote>
  <w:endnote w:type="continuationSeparator" w:id="0">
    <w:p w:rsidR="00ED6A46" w:rsidRDefault="00ED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47" w:rsidRDefault="00776DEF" w:rsidP="00892047">
    <w:pPr>
      <w:pStyle w:val="Footer"/>
      <w:tabs>
        <w:tab w:val="right" w:pos="10260"/>
      </w:tabs>
      <w:spacing w:before="120" w:line="240" w:lineRule="auto"/>
    </w:pPr>
    <w:r>
      <w:t>C</w:t>
    </w:r>
    <w:r w:rsidR="008E5E27">
      <w:t>V-427, 05/20</w:t>
    </w:r>
    <w:r w:rsidR="00892047">
      <w:t xml:space="preserve"> Poverty Guidelines for Earnings </w:t>
    </w:r>
    <w:r w:rsidR="00892047">
      <w:fldChar w:fldCharType="begin"/>
    </w:r>
    <w:r w:rsidR="00892047">
      <w:instrText xml:space="preserve"> DOCPROPERTY "Title_Line2" \* MERGEFORMAT </w:instrText>
    </w:r>
    <w:r w:rsidR="00892047">
      <w:fldChar w:fldCharType="end"/>
    </w:r>
    <w:r w:rsidR="00892047">
      <w:t xml:space="preserve"> </w:t>
    </w:r>
    <w:r w:rsidR="00892047">
      <w:tab/>
      <w:t>§812.34(3), Wisconsin Statutes</w:t>
    </w:r>
  </w:p>
  <w:p w:rsidR="00892047" w:rsidRDefault="00892047" w:rsidP="00892047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F231CA" w:rsidRDefault="00F231CA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5E54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05B30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CA" w:rsidRDefault="00343E21" w:rsidP="00892047">
    <w:pPr>
      <w:pStyle w:val="Footer"/>
      <w:tabs>
        <w:tab w:val="right" w:pos="10260"/>
      </w:tabs>
      <w:spacing w:before="120" w:line="240" w:lineRule="auto"/>
    </w:pPr>
    <w:r>
      <w:t>CV-427</w:t>
    </w:r>
    <w:r w:rsidR="00F231CA">
      <w:t xml:space="preserve">, </w:t>
    </w:r>
    <w:r w:rsidR="006A0A10">
      <w:t>06/22</w:t>
    </w:r>
    <w:r>
      <w:t xml:space="preserve"> Poverty Guidelines for Earnings</w:t>
    </w:r>
    <w:r w:rsidR="00205020">
      <w:t xml:space="preserve"> </w:t>
    </w:r>
    <w:r w:rsidR="00F231CA">
      <w:fldChar w:fldCharType="begin"/>
    </w:r>
    <w:r w:rsidR="00F231CA">
      <w:instrText xml:space="preserve"> DOCPROPERTY "Title_Line2" \* MERGEFORMAT </w:instrText>
    </w:r>
    <w:r w:rsidR="00F231CA">
      <w:fldChar w:fldCharType="end"/>
    </w:r>
    <w:r w:rsidR="00F231CA">
      <w:t xml:space="preserve"> </w:t>
    </w:r>
    <w:r w:rsidR="00F231CA">
      <w:tab/>
      <w:t>§812.34(3), Wisconsin Statutes</w:t>
    </w:r>
  </w:p>
  <w:p w:rsidR="00F231CA" w:rsidRDefault="00F231CA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46" w:rsidRDefault="00ED6A46">
      <w:r>
        <w:separator/>
      </w:r>
    </w:p>
  </w:footnote>
  <w:footnote w:type="continuationSeparator" w:id="0">
    <w:p w:rsidR="00ED6A46" w:rsidRDefault="00ED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CA" w:rsidRDefault="00C84498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98" w:rsidRDefault="00C84498" w:rsidP="00C844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43.8pt;height:217.5pt;rotation:-45;z-index:-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CE+MiQIAAAMFAAAOAAAAZHJzL2Uyb0RvYy54bWysVMtu2zAQvBfoPxC8O3pUViwhchA7cS9p GyAucqZFymIrPkrSloyg/94lpbzaS1HUB5parmZnd4a6uBxEh47MWK5khZOzGCMma0W53Ff463Yz W2BkHZGUdEqyCp+YxZfL9+8uel2yVLWqo8wgAJG27HWFW+d0GUW2bpkg9kxpJuGwUUYQB49mH1FD ekAXXZTGcR71ylBtVM2shej1eIiXAb9pWO2+NI1lDnUVBm4urCasO79GywtS7g3RLa8nGuQfWAjC JRR9hromjqCD4X9ACV4bZVXjzmolItU0vGahB+gmiX/r5r4lmoVeYDhWP4/J/j/Y+vPxziBOK/wB I0kESPQAE70yDs39cHptS8i515DlhpUaQOTQqNW3qv5ukVTrlsg9uzJG9S0jFMglADWFQwvbkwbc EN2ywd1QDjokHj56hT8Ws77Srv+kKLxCDk6FakNjBDLKv7YoYv8LYZgfAkYg7OlZTCiAagjmRZyn ORzVcJae52k6D3JHpPRoXixtrPvIlEB+U2EDbgmw5HhrnWf3kuLTARni025U97FI0ixepcVsky/O Z9kmm8+K83gxi5NiVeRxVmTXm58eNMnKllPK5C2X7MlpSfZ3Sk6eHz0SvIb6ChfzdB74WtVxuuFd 57lZs9+tO4OOxFt+nNXYy5s0ow6SQpyUXrSbae8I78Z99JZxGAYM4Ok/DCKo5wUbpXPDbghWCtJ6 ZXeKnkDOHu5Xhe2PAzEMrHEQawXcwA+NUWKym3/2bLwU2+GBGD2p4qDqXfd0v4I0Pm9PJ7sS+g2A RAfXFlpG82COseEpeZJxRA0j0ldgrA0PGr/wnOwINy10OX0V/FV+/RyyXr5dy18AAAD//wMAUEsD BBQABgAIAAAAIQC6B84b2wAAAAYBAAAPAAAAZHJzL2Rvd25yZXYueG1sTI/BTsMwEETvSPyDtUjc qA2FUoU4FSLi0GNbxHkbb5OAvQ6x06R8PS4XuKw0mtHM23w1OSuO1IfWs4bbmQJBXHnTcq3hbfd6 swQRIrJB65k0nCjAqri8yDEzfuQNHbexFqmEQ4Yamhi7TMpQNeQwzHxHnLyD7x3GJPtamh7HVO6s vFNqIR22nBYa7OiloepzOzgN5vtw6ubjuFuvN+XwZduypPcPra+vpucnEJGm+BeGM35ChyIx7f3A JgirIT0Sf+/ZU8vHBYi9hvv5gwJZ5PI/fvEDAAD//wMAUEsBAi0AFAAGAAgAAAAhALaDOJL+AAAA 4QEAABMAAAAAAAAAAAAAAAAAAAAAAFtDb250ZW50X1R5cGVzXS54bWxQSwECLQAUAAYACAAAACEA OP0h/9YAAACUAQAACwAAAAAAAAAAAAAAAAAvAQAAX3JlbHMvLnJlbHNQSwECLQAUAAYACAAAACEA CwhPjIkCAAADBQAADgAAAAAAAAAAAAAAAAAuAgAAZHJzL2Uyb0RvYy54bWxQSwECLQAUAAYACAAA ACEAugfOG9sAAAAGAQAADwAAAAAAAAAAAAAAAADjBAAAZHJzL2Rvd25yZXYueG1sUEsFBgAAAAAE AAQA8wAAAOsFAAAAAA== " o:allowincell="f" filled="f" stroked="f">
              <v:stroke joinstyle="round"/>
              <o:lock v:ext="edit" shapetype="t"/>
              <v:textbox style="mso-fit-shape-to-text:t">
                <w:txbxContent>
                  <w:p w:rsidR="00C84498" w:rsidRDefault="00C84498" w:rsidP="00C844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30035" cy="2651760"/>
              <wp:effectExtent l="0" t="1800225" r="0" b="145351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30035" cy="2651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498" w:rsidRDefault="00C84498" w:rsidP="00C844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7" type="#_x0000_t202" style="position:absolute;margin-left:0;margin-top:0;width:522.05pt;height:208.8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7YRahwIAAPwEAAAOAAAAZHJzL2Uyb0RvYy54bWysVMlu2zAQvRfoPxC8O1oiK5ZgOcjmXtI2 QFzkTIuUxVZcStKWjKL/3iElZ2kvRVEfaHI0evNm3qOWl4Po0IEZy5WscHIWY8RkrSiXuwp/2axn C4ysI5KSTklW4SOz+HL1/t2y1yVLVas6ygwCEGnLXle4dU6XUWTrlgliz5RmEh42ygji4Gh2ETWk B3TRRWkc51GvDNVG1cxaiN6OD/Eq4DcNq93nprHMoa7CwM2F1YR169dotSTlzhDd8nqiQf6BhSBc QtFnqFviCNob/geU4LVRVjXurFYiUk3DaxZ6gG6S+LduHluiWegFhmP185js/4OtPx0eDOK0wilG kgiQ6AkmemUcOvfD6bUtIedRQ5YbrtUAIodGrb5X9TeLpLppidyxK2NU3zJCgVwCUFM4tLA5asAN 0Q0b3B3loEPi4aNX+GMx6ytt+4+Kwitk71SoNjRGIKP8a4si9r8QhvkhYATCHp/FhAKohmCen8fx +RyjGp6l+Ty5yIPcESk9mhdLG+s+MCWQ31TYgFsCLDncW+fZvaT4dECG+LQb1f1RJGkWX6fFbJ0v LmbZOpvPiot4MYuT4rrI46zIbtc/PWiSlS2nlMl7LtnJaUn2d0pOnh89EryG+goX83Qe+FrVcbrm Xee5WbPb3nQGHYi3/DirsZc3aUbtJYU4Kb1od9PeEd6N++gt4zAMGMDpPwwiqOcFG6Vzw3YARC/p VtEj6NjDxaqw/b4nhoEn9uJGASkwQmOUmHzmz56G12AzPBGjJzkclHvoThcraOLzdnTyKaFfAUh0 cF+hVzQPrhg7nZIn/UbUMBt9BY5a8yDuC8/Jh3DFQnvT58Df4dfnkPXy0Vr9AgAA//8DAFBLAwQU AAYACAAAACEARnHswNsAAAAGAQAADwAAAGRycy9kb3ducmV2LnhtbEyPzU7DMBCE70i8g7VI3KgT iAoKcSpExKHH/ojzNt4mAXsdYqdJeXpcLnBZaTSjmW+L1WyNONHgO8cK0kUCgrh2uuNGwX73dvcE wgdkjcYxKTiTh1V5fVVgrt3EGzptQyNiCfscFbQh9LmUvm7Jol+4njh6RzdYDFEOjdQDTrHcGnmf JEtpseO40GJPry3Vn9vRKtDfx3P/ME279XpTjV+mqyp6/1Dq9mZ+eQYRaA5/YbjgR3QoI9PBjay9 MAriI+H3Xrwky1IQBwVZ+rgEWRbyP375AwAA//8DAFBLAQItABQABgAIAAAAIQC2gziS/gAAAOEB AAATAAAAAAAAAAAAAAAAAAAAAABbQ29udGVudF9UeXBlc10ueG1sUEsBAi0AFAAGAAgAAAAhADj9 If/WAAAAlAEAAAsAAAAAAAAAAAAAAAAALwEAAF9yZWxzLy5yZWxzUEsBAi0AFAAGAAgAAAAhAM3t hFqHAgAA/AQAAA4AAAAAAAAAAAAAAAAALgIAAGRycy9lMm9Eb2MueG1sUEsBAi0AFAAGAAgAAAAh AEZx7MDbAAAABgEAAA8AAAAAAAAAAAAAAAAA4QQAAGRycy9kb3ducmV2LnhtbFBLBQYAAAAABAAE APMAAADpBQAAAAA= " o:allowincell="f" filled="f" stroked="f">
              <v:stroke joinstyle="round"/>
              <o:lock v:ext="edit" shapetype="t"/>
              <v:textbox style="mso-fit-shape-to-text:t">
                <w:txbxContent>
                  <w:p w:rsidR="00C84498" w:rsidRDefault="00C84498" w:rsidP="00C8449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31CA">
      <w:rPr>
        <w:rStyle w:val="PageNumber"/>
      </w:rPr>
      <w:fldChar w:fldCharType="begin"/>
    </w:r>
    <w:r w:rsidR="00F231CA">
      <w:rPr>
        <w:rStyle w:val="PageNumber"/>
      </w:rPr>
      <w:instrText xml:space="preserve">PAGE  </w:instrText>
    </w:r>
    <w:r w:rsidR="00F231CA">
      <w:rPr>
        <w:rStyle w:val="PageNumber"/>
      </w:rPr>
      <w:fldChar w:fldCharType="separate"/>
    </w:r>
    <w:r w:rsidR="00BC2212">
      <w:rPr>
        <w:rStyle w:val="PageNumber"/>
        <w:noProof/>
      </w:rPr>
      <w:t>1</w:t>
    </w:r>
    <w:r w:rsidR="00F231CA">
      <w:rPr>
        <w:rStyle w:val="PageNumber"/>
      </w:rPr>
      <w:fldChar w:fldCharType="end"/>
    </w:r>
  </w:p>
  <w:p w:rsidR="00F231CA" w:rsidRDefault="00F231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CA" w:rsidRPr="00892047" w:rsidRDefault="00F85B27" w:rsidP="00892047">
    <w:pPr>
      <w:pStyle w:val="Header"/>
      <w:tabs>
        <w:tab w:val="clear" w:pos="4320"/>
        <w:tab w:val="clear" w:pos="8640"/>
        <w:tab w:val="left" w:pos="5760"/>
        <w:tab w:val="left" w:pos="7200"/>
        <w:tab w:val="left" w:pos="10260"/>
      </w:tabs>
      <w:spacing w:after="120"/>
      <w:ind w:right="14"/>
      <w:rPr>
        <w:snapToGrid w:val="0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-1905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399A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pt" to="518.25pt,9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eEIEwIAACgEAAAOAAAAZHJzL2Uyb0RvYy54bWysU8uu2jAQ3VfqP1jeQxJuoCEiXFUJdENb pHv7AcZ2iFXHtmxDQFX/vWPzaGk3VdUsHD/OHJ+ZM148n3qJjtw6oVWFs3GKEVdUM6H2Ff7yuh4V GDlPFCNSK17hM3f4efn2zWIwJZ/oTkvGLQIS5crBVLjz3pRJ4mjHe+LG2nAFh622PfGwtPuEWTIA ey+TSZrOkkFbZqym3DnYbS6HeBn525ZT/7ltHfdIVhi0+TjaOO7CmCwXpNxbYjpBrzLIP6joiVBw 6Z2qIZ6ggxV/UPWCWu1068dU94luW0F5zAGyydLfsnnpiOExFyiOM/cyuf9HSz8dtxYJBt5hpEgP Fm2E4igLlRmMKwFQq60NudGTejEbTb86pHTdEbXnUeHr2UBYjEgeQsLCGeDfDR81Aww5eB3LdGpt HyihAOgU3Tjf3eAnjyhszqbF06wA0+jtLCHlLdBY5z9w3aMwqbAEzZGYHDfOg3SA3iDhHqXXQspo tlRoqPB8OpnGAKelYOEwwJzd72pp0ZGEdolfqAOQPcCsPigWyTpO2Oo690TIyxzwUgU+SAXkXGeX fvg2T+erYlXko3wyW43ytGlG79d1Ppqts3fT5qmp6yb7HqRledkJxrgK6m69meV/5/31lVy66t6d 9zIkj+wxRRB7+0fR0ctg36URdpqdtzZUI9gK7RjB16cT+v3XdUT9fODLHwAAAP//AwBQSwMEFAAG AAgAAAAhAHLvPrTcAAAACAEAAA8AAABkcnMvZG93bnJldi54bWxMj8FOwzAQRO+V+AdrkbhUrU2i VhDiVAjIjQstiOs2XpKIeJ3Gbhv4elz1QI87M5p9k69G24kDDb51rOF2rkAQV860XGt435SzOxA+ IBvsHJOGH/KwKq4mOWbGHfmNDutQi1jCPkMNTQh9JqWvGrLo564njt6XGyyGeA61NAMeY7ntZKLU UlpsOX5osKenhqrv9d5q8OUH7crfaTVVn2ntKNk9v76g1jfX4+MDiEBj+A/DCT+iQxGZtm7PxotO wyyNwSjfJyBOtkqXCxDbsyKLXF4OKP4AAAD//wMAUEsBAi0AFAAGAAgAAAAhALaDOJL+AAAA4QEA ABMAAAAAAAAAAAAAAAAAAAAAAFtDb250ZW50X1R5cGVzXS54bWxQSwECLQAUAAYACAAAACEAOP0h /9YAAACUAQAACwAAAAAAAAAAAAAAAAAvAQAAX3JlbHMvLnJlbHNQSwECLQAUAAYACAAAACEA4qXh CBMCAAAoBAAADgAAAAAAAAAAAAAAAAAuAgAAZHJzL2Uyb0RvYy54bWxQSwECLQAUAAYACAAAACEA cu8+tNwAAAAIAQAADwAAAAAAAAAAAAAAAABtBAAAZHJzL2Rvd25yZXYueG1sUEsFBgAAAAAEAAQA 8wAAAHYFAAAAAA== 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KMds+ZDqkSmBKOXKVu90Tf3Tlcnh6M45P8afuKBZtXYObf6bzlQwawfDO6GdjOsgJ8+StI5fbm/NRadlL45w==" w:salt="1zN1+wFZRh9JkKiF67fJ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98"/>
    <w:rsid w:val="00017181"/>
    <w:rsid w:val="00020DA7"/>
    <w:rsid w:val="0003379B"/>
    <w:rsid w:val="0007565E"/>
    <w:rsid w:val="000B1F69"/>
    <w:rsid w:val="000C0213"/>
    <w:rsid w:val="000C31B4"/>
    <w:rsid w:val="000C62A3"/>
    <w:rsid w:val="000F577D"/>
    <w:rsid w:val="000F5E54"/>
    <w:rsid w:val="00123BC1"/>
    <w:rsid w:val="001266FB"/>
    <w:rsid w:val="00147754"/>
    <w:rsid w:val="00167BE1"/>
    <w:rsid w:val="00193AAD"/>
    <w:rsid w:val="001B3AB4"/>
    <w:rsid w:val="001C0428"/>
    <w:rsid w:val="001D7214"/>
    <w:rsid w:val="001F4888"/>
    <w:rsid w:val="00201BA5"/>
    <w:rsid w:val="00205020"/>
    <w:rsid w:val="002227BE"/>
    <w:rsid w:val="00274408"/>
    <w:rsid w:val="002765B5"/>
    <w:rsid w:val="0028145C"/>
    <w:rsid w:val="002A3BCC"/>
    <w:rsid w:val="002A6C2D"/>
    <w:rsid w:val="002B6102"/>
    <w:rsid w:val="002D708A"/>
    <w:rsid w:val="002D7F29"/>
    <w:rsid w:val="002F24F9"/>
    <w:rsid w:val="002F3450"/>
    <w:rsid w:val="00302A25"/>
    <w:rsid w:val="00335DEA"/>
    <w:rsid w:val="00343E21"/>
    <w:rsid w:val="00352C5A"/>
    <w:rsid w:val="00382649"/>
    <w:rsid w:val="00383F5A"/>
    <w:rsid w:val="00387A0C"/>
    <w:rsid w:val="00393178"/>
    <w:rsid w:val="003A415C"/>
    <w:rsid w:val="003A67BF"/>
    <w:rsid w:val="003D4FAC"/>
    <w:rsid w:val="003D7463"/>
    <w:rsid w:val="003E71F6"/>
    <w:rsid w:val="00420601"/>
    <w:rsid w:val="00436BC1"/>
    <w:rsid w:val="004445E8"/>
    <w:rsid w:val="00447358"/>
    <w:rsid w:val="0045223A"/>
    <w:rsid w:val="00474298"/>
    <w:rsid w:val="004A02FC"/>
    <w:rsid w:val="004A32DB"/>
    <w:rsid w:val="004A3CC9"/>
    <w:rsid w:val="004B42C1"/>
    <w:rsid w:val="004C694F"/>
    <w:rsid w:val="004D309D"/>
    <w:rsid w:val="004F0684"/>
    <w:rsid w:val="004F1075"/>
    <w:rsid w:val="00507CE3"/>
    <w:rsid w:val="00510956"/>
    <w:rsid w:val="00512023"/>
    <w:rsid w:val="00515F9E"/>
    <w:rsid w:val="005167FA"/>
    <w:rsid w:val="00520581"/>
    <w:rsid w:val="005272C9"/>
    <w:rsid w:val="00531D64"/>
    <w:rsid w:val="00552E52"/>
    <w:rsid w:val="0056576D"/>
    <w:rsid w:val="0057240F"/>
    <w:rsid w:val="00587775"/>
    <w:rsid w:val="005B357C"/>
    <w:rsid w:val="005B505F"/>
    <w:rsid w:val="005C0DC4"/>
    <w:rsid w:val="00631555"/>
    <w:rsid w:val="0063218D"/>
    <w:rsid w:val="00632A1F"/>
    <w:rsid w:val="00642DEA"/>
    <w:rsid w:val="006649D2"/>
    <w:rsid w:val="0068360E"/>
    <w:rsid w:val="00686D82"/>
    <w:rsid w:val="00694B22"/>
    <w:rsid w:val="006A0A10"/>
    <w:rsid w:val="006A75EE"/>
    <w:rsid w:val="006C6C41"/>
    <w:rsid w:val="006C702A"/>
    <w:rsid w:val="006F006D"/>
    <w:rsid w:val="00710710"/>
    <w:rsid w:val="007313B8"/>
    <w:rsid w:val="007321F9"/>
    <w:rsid w:val="00743625"/>
    <w:rsid w:val="0074679E"/>
    <w:rsid w:val="007541BE"/>
    <w:rsid w:val="0076461C"/>
    <w:rsid w:val="0076494F"/>
    <w:rsid w:val="00776DEF"/>
    <w:rsid w:val="007778F8"/>
    <w:rsid w:val="0079292A"/>
    <w:rsid w:val="007A5C60"/>
    <w:rsid w:val="007A7D43"/>
    <w:rsid w:val="007D084D"/>
    <w:rsid w:val="00810884"/>
    <w:rsid w:val="008149AA"/>
    <w:rsid w:val="00817C14"/>
    <w:rsid w:val="00825019"/>
    <w:rsid w:val="0083321C"/>
    <w:rsid w:val="00843061"/>
    <w:rsid w:val="00870A18"/>
    <w:rsid w:val="00892047"/>
    <w:rsid w:val="008B01B0"/>
    <w:rsid w:val="008B0A6B"/>
    <w:rsid w:val="008C0593"/>
    <w:rsid w:val="008D0953"/>
    <w:rsid w:val="008D22D0"/>
    <w:rsid w:val="008E1626"/>
    <w:rsid w:val="008E4E9D"/>
    <w:rsid w:val="008E5E27"/>
    <w:rsid w:val="00941CAD"/>
    <w:rsid w:val="009618AE"/>
    <w:rsid w:val="0098702E"/>
    <w:rsid w:val="00992A07"/>
    <w:rsid w:val="009B7479"/>
    <w:rsid w:val="009D25AF"/>
    <w:rsid w:val="009D2E3B"/>
    <w:rsid w:val="009D7E8A"/>
    <w:rsid w:val="009E4FF9"/>
    <w:rsid w:val="00A26AB1"/>
    <w:rsid w:val="00A549DC"/>
    <w:rsid w:val="00A745B9"/>
    <w:rsid w:val="00A961BB"/>
    <w:rsid w:val="00AB148A"/>
    <w:rsid w:val="00AC0A68"/>
    <w:rsid w:val="00AD7591"/>
    <w:rsid w:val="00B1506D"/>
    <w:rsid w:val="00B214B5"/>
    <w:rsid w:val="00B21F17"/>
    <w:rsid w:val="00B22059"/>
    <w:rsid w:val="00B4326D"/>
    <w:rsid w:val="00B54004"/>
    <w:rsid w:val="00B6039B"/>
    <w:rsid w:val="00B93CA0"/>
    <w:rsid w:val="00BA5E5B"/>
    <w:rsid w:val="00BC2212"/>
    <w:rsid w:val="00BC51AA"/>
    <w:rsid w:val="00BE5B94"/>
    <w:rsid w:val="00BF4383"/>
    <w:rsid w:val="00C04389"/>
    <w:rsid w:val="00C156EA"/>
    <w:rsid w:val="00C2606A"/>
    <w:rsid w:val="00C51949"/>
    <w:rsid w:val="00C722D9"/>
    <w:rsid w:val="00C84498"/>
    <w:rsid w:val="00C87741"/>
    <w:rsid w:val="00C919E2"/>
    <w:rsid w:val="00CA4648"/>
    <w:rsid w:val="00CA7F2C"/>
    <w:rsid w:val="00CB6812"/>
    <w:rsid w:val="00D22EB2"/>
    <w:rsid w:val="00D24E72"/>
    <w:rsid w:val="00D33B94"/>
    <w:rsid w:val="00D40C6F"/>
    <w:rsid w:val="00D446F9"/>
    <w:rsid w:val="00D447A4"/>
    <w:rsid w:val="00D504B1"/>
    <w:rsid w:val="00D7489D"/>
    <w:rsid w:val="00DC42B0"/>
    <w:rsid w:val="00DE018B"/>
    <w:rsid w:val="00DE3356"/>
    <w:rsid w:val="00DF4AFB"/>
    <w:rsid w:val="00DF695A"/>
    <w:rsid w:val="00E05B30"/>
    <w:rsid w:val="00E429E1"/>
    <w:rsid w:val="00E45F78"/>
    <w:rsid w:val="00E75223"/>
    <w:rsid w:val="00E93262"/>
    <w:rsid w:val="00EA2AF8"/>
    <w:rsid w:val="00EA7C3D"/>
    <w:rsid w:val="00EB2783"/>
    <w:rsid w:val="00ED3FDF"/>
    <w:rsid w:val="00ED6A46"/>
    <w:rsid w:val="00EE5AF0"/>
    <w:rsid w:val="00EF1D15"/>
    <w:rsid w:val="00F128F0"/>
    <w:rsid w:val="00F1587D"/>
    <w:rsid w:val="00F17BAC"/>
    <w:rsid w:val="00F231CA"/>
    <w:rsid w:val="00F3188E"/>
    <w:rsid w:val="00F36EBC"/>
    <w:rsid w:val="00F46D48"/>
    <w:rsid w:val="00F50699"/>
    <w:rsid w:val="00F60EBA"/>
    <w:rsid w:val="00F80E44"/>
    <w:rsid w:val="00F85B27"/>
    <w:rsid w:val="00F876F5"/>
    <w:rsid w:val="00F90E46"/>
    <w:rsid w:val="00F94A15"/>
    <w:rsid w:val="00FA6F25"/>
    <w:rsid w:val="00FB2897"/>
    <w:rsid w:val="00FC4BA5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5223ECAB-36E0-4AF3-860E-23B649A2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1095"/>
      </w:tabs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095"/>
      </w:tabs>
      <w:spacing w:line="240" w:lineRule="auto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BC51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449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229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CV-427: Poverty Guidelines for Earnings</vt:lpstr>
    </vt:vector>
  </TitlesOfParts>
  <Manager>Court Operations</Manager>
  <Company>Wisconsin State Courts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CV-427: Poverty Guidelines for Earnings</dc:title>
  <dc:subject>WI State Courts</dc:subject>
  <dc:creator>Terri Borrud</dc:creator>
  <cp:keywords>CV-427</cp:keywords>
  <cp:lastModifiedBy>Thomas Barker</cp:lastModifiedBy>
  <cp:revision>2</cp:revision>
  <cp:lastPrinted>2022-06-30T20:29:00Z</cp:lastPrinted>
  <dcterms:created xsi:type="dcterms:W3CDTF">2023-04-25T16:19:00Z</dcterms:created>
  <dcterms:modified xsi:type="dcterms:W3CDTF">2023-04-25T16:19:00Z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Poverty Guidelines for Earnings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Form_Number">
    <vt:lpwstr>CV-427</vt:lpwstr>
  </property>
</Properties>
</file>